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8031A" w14:textId="77777777" w:rsidR="00EE3598" w:rsidRDefault="00EE3598" w:rsidP="00767C52">
      <w:pPr>
        <w:jc w:val="center"/>
        <w:rPr>
          <w:rFonts w:ascii="Arial" w:hAnsi="Arial" w:cs="Arial"/>
          <w:b/>
          <w:sz w:val="28"/>
          <w:szCs w:val="28"/>
        </w:rPr>
      </w:pPr>
    </w:p>
    <w:p w14:paraId="42ABA6EE" w14:textId="77777777" w:rsidR="00767C52" w:rsidRPr="00EF2DAE" w:rsidRDefault="00D530F0" w:rsidP="00767C52">
      <w:pPr>
        <w:jc w:val="center"/>
        <w:rPr>
          <w:rFonts w:ascii="Arial" w:hAnsi="Arial" w:cs="Arial"/>
          <w:b/>
          <w:color w:val="7030A0"/>
          <w:sz w:val="28"/>
          <w:szCs w:val="28"/>
        </w:rPr>
      </w:pPr>
      <w:r w:rsidRPr="00EF2DAE">
        <w:rPr>
          <w:rFonts w:ascii="Arial" w:hAnsi="Arial" w:cs="Arial"/>
          <w:b/>
          <w:color w:val="7030A0"/>
          <w:sz w:val="28"/>
          <w:szCs w:val="28"/>
        </w:rPr>
        <w:t>EB</w:t>
      </w:r>
      <w:r w:rsidR="00C00892">
        <w:rPr>
          <w:rFonts w:ascii="Arial" w:hAnsi="Arial" w:cs="Arial"/>
          <w:b/>
          <w:color w:val="7030A0"/>
          <w:sz w:val="28"/>
          <w:szCs w:val="28"/>
        </w:rPr>
        <w:t>I</w:t>
      </w:r>
      <w:bookmarkStart w:id="0" w:name="_GoBack"/>
      <w:bookmarkEnd w:id="0"/>
      <w:r w:rsidR="00767C52" w:rsidRPr="00EF2DAE">
        <w:rPr>
          <w:rFonts w:ascii="Arial" w:hAnsi="Arial" w:cs="Arial"/>
          <w:b/>
          <w:color w:val="7030A0"/>
          <w:sz w:val="28"/>
          <w:szCs w:val="28"/>
        </w:rPr>
        <w:t xml:space="preserve"> </w:t>
      </w:r>
      <w:r w:rsidR="00AF3CAA">
        <w:rPr>
          <w:rFonts w:ascii="Arial" w:hAnsi="Arial" w:cs="Arial"/>
          <w:b/>
          <w:color w:val="7030A0"/>
          <w:sz w:val="28"/>
          <w:szCs w:val="28"/>
        </w:rPr>
        <w:t>1 Description: Automated Telephone Calls to Improve Completion of Fecal Occult Blood Testing</w:t>
      </w:r>
    </w:p>
    <w:p w14:paraId="4E2FD1ED" w14:textId="77777777" w:rsidR="00AF3CAA" w:rsidRDefault="00A345ED" w:rsidP="00AF3CAA">
      <w:pPr>
        <w:jc w:val="center"/>
        <w:rPr>
          <w:noProof/>
        </w:rPr>
      </w:pPr>
      <w:r w:rsidRPr="005A7157">
        <w:rPr>
          <w:noProof/>
        </w:rPr>
        <w:drawing>
          <wp:inline distT="0" distB="0" distL="0" distR="0" wp14:anchorId="7D8B325B" wp14:editId="6017DA72">
            <wp:extent cx="5070203" cy="5010150"/>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0203" cy="5010150"/>
                    </a:xfrm>
                    <a:prstGeom prst="rect">
                      <a:avLst/>
                    </a:prstGeom>
                    <a:noFill/>
                    <a:ln>
                      <a:noFill/>
                    </a:ln>
                  </pic:spPr>
                </pic:pic>
              </a:graphicData>
            </a:graphic>
          </wp:inline>
        </w:drawing>
      </w:r>
    </w:p>
    <w:p w14:paraId="1B9551C2" w14:textId="77777777" w:rsidR="00AF3CAA" w:rsidRPr="00954559" w:rsidRDefault="00AF3CAA" w:rsidP="00954559">
      <w:pPr>
        <w:pStyle w:val="Heading3"/>
        <w:spacing w:before="0" w:after="0"/>
        <w:rPr>
          <w:rFonts w:ascii="Arial" w:hAnsi="Arial" w:cs="Arial"/>
          <w:i/>
          <w:sz w:val="24"/>
          <w:szCs w:val="24"/>
        </w:rPr>
      </w:pPr>
      <w:r w:rsidRPr="00954559">
        <w:rPr>
          <w:rFonts w:ascii="Arial" w:hAnsi="Arial" w:cs="Arial"/>
          <w:i/>
          <w:sz w:val="24"/>
          <w:szCs w:val="24"/>
        </w:rPr>
        <w:t>Description</w:t>
      </w:r>
    </w:p>
    <w:p w14:paraId="4A6E3F17" w14:textId="77777777" w:rsidR="00AF3CAA" w:rsidRPr="00954559" w:rsidRDefault="00AF3CAA" w:rsidP="00954559">
      <w:pPr>
        <w:pStyle w:val="NormalWeb"/>
        <w:spacing w:after="0"/>
        <w:rPr>
          <w:rFonts w:ascii="Arial" w:hAnsi="Arial" w:cs="Arial"/>
        </w:rPr>
      </w:pPr>
      <w:r w:rsidRPr="00954559">
        <w:rPr>
          <w:rFonts w:ascii="Arial" w:hAnsi="Arial" w:cs="Arial"/>
        </w:rPr>
        <w:t xml:space="preserve">Automated Telephone Calls Improve Completion of Fecal Occult Blood Testing is an automated telephone intervention to increase CRC screening using an FOBT home test kit. Staff at health maintenance organizations (HMOs) identify patients in an electronic database who will receive the automated calls.  The criteria used to define the need for routine screening are as follows: (1) no completed FOBT screening within the past 12 months; (2) no flexible sigmoidoscopy or double-contrast barium enema (DCBE) within the past 5 years; (3) no colonoscopy within the past 10 years; and (4) no clinician order or referral for FOBT, or colonoscopy in the past 3 months.  The intervention consists of a general reminder telephone call (type 1) that provides a brief overview of CRC, including the benefits of colorectal screening, and encourages use of a home FOBT kit as a relatively simple and low-risk method of CRC screening.  Recipients of reminder calls can request an FOBT kit with instructions for completion by pressing a number on a touch-tone telephone.  Patients who do not complete FOBT screening receive up to two additional reminder calls (type 1) at 6 and 12 weeks after the initial call. One additional FOBT return reminder call (type 2) targets patients who initially request an FOBT stool card kit but fail to return it within 4-5 weeks of the request.  Automated calls to FOBT non-returners reiterate the benefits of CRC screening and remind to return a completed FOBT card.  Non-returners are also given the opportunity to request an additional FOBT card if needed.  </w:t>
      </w:r>
    </w:p>
    <w:p w14:paraId="0277375E"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lastRenderedPageBreak/>
        <w:t>Community Preventive Services Task Force Finding</w:t>
      </w:r>
    </w:p>
    <w:p w14:paraId="3293B4BE" w14:textId="77777777" w:rsidR="00AF3CAA" w:rsidRPr="00954559" w:rsidRDefault="00AF3CAA" w:rsidP="00954559">
      <w:pPr>
        <w:rPr>
          <w:rFonts w:ascii="Arial" w:hAnsi="Arial" w:cs="Arial"/>
        </w:rPr>
      </w:pPr>
      <w:r w:rsidRPr="00954559">
        <w:rPr>
          <w:rFonts w:ascii="Arial" w:hAnsi="Arial" w:cs="Arial"/>
        </w:rPr>
        <w:t xml:space="preserve">This program is an example of client reminder interventions (Colorectal Cancer Screening), which is </w:t>
      </w:r>
      <w:r w:rsidRPr="00954559">
        <w:rPr>
          <w:rFonts w:ascii="Arial" w:hAnsi="Arial" w:cs="Arial"/>
          <w:bCs/>
          <w:u w:val="single"/>
        </w:rPr>
        <w:t>recommended</w:t>
      </w:r>
      <w:r w:rsidRPr="00954559">
        <w:rPr>
          <w:rFonts w:ascii="Arial" w:hAnsi="Arial" w:cs="Arial"/>
        </w:rPr>
        <w:t xml:space="preserve"> by the Community Preventive Services Task Force, as found in the </w:t>
      </w:r>
      <w:r w:rsidRPr="00954559">
        <w:rPr>
          <w:rFonts w:ascii="Arial" w:hAnsi="Arial" w:cs="Arial"/>
          <w:i/>
          <w:iCs/>
        </w:rPr>
        <w:t>Guide to Community Preventive Services</w:t>
      </w:r>
      <w:r w:rsidRPr="00954559">
        <w:rPr>
          <w:rFonts w:ascii="Arial" w:hAnsi="Arial" w:cs="Arial"/>
        </w:rPr>
        <w:t xml:space="preserve">. </w:t>
      </w:r>
    </w:p>
    <w:p w14:paraId="67899B37" w14:textId="77777777" w:rsidR="00954559" w:rsidRDefault="00954559" w:rsidP="00954559">
      <w:pPr>
        <w:pStyle w:val="Heading2"/>
        <w:spacing w:before="0" w:after="0"/>
        <w:rPr>
          <w:rFonts w:ascii="Arial" w:hAnsi="Arial" w:cs="Arial"/>
          <w:sz w:val="24"/>
          <w:szCs w:val="24"/>
        </w:rPr>
      </w:pPr>
    </w:p>
    <w:p w14:paraId="251474AF"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Time Required</w:t>
      </w:r>
    </w:p>
    <w:p w14:paraId="1CCD200A" w14:textId="77777777" w:rsidR="00322CDC" w:rsidRPr="00954559" w:rsidRDefault="00AF3CAA" w:rsidP="00954559">
      <w:pPr>
        <w:pStyle w:val="ListParagraph"/>
        <w:numPr>
          <w:ilvl w:val="0"/>
          <w:numId w:val="11"/>
        </w:numPr>
        <w:rPr>
          <w:rFonts w:ascii="Arial" w:hAnsi="Arial" w:cs="Arial"/>
        </w:rPr>
      </w:pPr>
      <w:r w:rsidRPr="00954559">
        <w:rPr>
          <w:rFonts w:ascii="Arial" w:hAnsi="Arial" w:cs="Arial"/>
        </w:rPr>
        <w:t xml:space="preserve">Up to three, automated, type 1, general reminder calls, each 1 minute long - an initial call with follow-up calls at 6 and 12 weeks later </w:t>
      </w:r>
      <w:r w:rsidR="00322CDC" w:rsidRPr="00954559">
        <w:rPr>
          <w:rFonts w:ascii="Arial" w:hAnsi="Arial" w:cs="Arial"/>
        </w:rPr>
        <w:t>if no FOBT has been completed</w:t>
      </w:r>
    </w:p>
    <w:p w14:paraId="0452D789" w14:textId="77777777" w:rsidR="00AF3CAA" w:rsidRPr="00954559" w:rsidRDefault="00AF3CAA" w:rsidP="00954559">
      <w:pPr>
        <w:pStyle w:val="ListParagraph"/>
        <w:numPr>
          <w:ilvl w:val="0"/>
          <w:numId w:val="11"/>
        </w:numPr>
        <w:rPr>
          <w:rFonts w:ascii="Arial" w:hAnsi="Arial" w:cs="Arial"/>
        </w:rPr>
      </w:pPr>
      <w:r w:rsidRPr="00954559">
        <w:rPr>
          <w:rFonts w:ascii="Arial" w:hAnsi="Arial" w:cs="Arial"/>
        </w:rPr>
        <w:t xml:space="preserve">One additional, automated, type 2, FOBT return call, approximately 1 minute long at 4-5 weeks following an initial patient request for an FOBT kit, if a completed FOBT has not been submitted </w:t>
      </w:r>
    </w:p>
    <w:p w14:paraId="79234336" w14:textId="77777777" w:rsidR="00954559" w:rsidRDefault="00954559" w:rsidP="00954559">
      <w:pPr>
        <w:pStyle w:val="Heading2"/>
        <w:spacing w:before="0" w:after="0"/>
        <w:rPr>
          <w:rFonts w:ascii="Arial" w:hAnsi="Arial" w:cs="Arial"/>
          <w:sz w:val="24"/>
          <w:szCs w:val="24"/>
        </w:rPr>
      </w:pPr>
    </w:p>
    <w:p w14:paraId="58D66168"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Intended Audience</w:t>
      </w:r>
    </w:p>
    <w:p w14:paraId="3363B71C" w14:textId="77777777" w:rsidR="00AF3CAA" w:rsidRPr="00954559" w:rsidRDefault="00AF3CAA" w:rsidP="00954559">
      <w:pPr>
        <w:rPr>
          <w:rFonts w:ascii="Arial" w:hAnsi="Arial" w:cs="Arial"/>
        </w:rPr>
      </w:pPr>
      <w:r w:rsidRPr="00954559">
        <w:rPr>
          <w:rFonts w:ascii="Arial" w:hAnsi="Arial" w:cs="Arial"/>
        </w:rPr>
        <w:t xml:space="preserve">The intervention targets adults aged 51-80 years at average risk for CRC and due for routine screening.  </w:t>
      </w:r>
    </w:p>
    <w:p w14:paraId="13748F55" w14:textId="77777777" w:rsidR="00954559" w:rsidRDefault="00954559" w:rsidP="00954559">
      <w:pPr>
        <w:pStyle w:val="Heading2"/>
        <w:spacing w:before="0" w:after="0"/>
        <w:rPr>
          <w:rFonts w:ascii="Arial" w:hAnsi="Arial" w:cs="Arial"/>
          <w:sz w:val="24"/>
          <w:szCs w:val="24"/>
        </w:rPr>
      </w:pPr>
    </w:p>
    <w:p w14:paraId="79AB6167"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Suitable Settings</w:t>
      </w:r>
    </w:p>
    <w:p w14:paraId="3EC4AF18" w14:textId="77777777" w:rsidR="00AF3CAA" w:rsidRPr="00954559" w:rsidRDefault="00AF3CAA" w:rsidP="00954559">
      <w:pPr>
        <w:rPr>
          <w:rFonts w:ascii="Arial" w:hAnsi="Arial" w:cs="Arial"/>
        </w:rPr>
      </w:pPr>
      <w:r w:rsidRPr="00954559">
        <w:rPr>
          <w:rFonts w:ascii="Arial" w:hAnsi="Arial" w:cs="Arial"/>
        </w:rPr>
        <w:t xml:space="preserve">The intervention can be delivered through a group-model HMO or other clinical settings.  </w:t>
      </w:r>
    </w:p>
    <w:p w14:paraId="1A7DFD2B" w14:textId="77777777" w:rsidR="00954559" w:rsidRDefault="00954559" w:rsidP="00954559">
      <w:pPr>
        <w:pStyle w:val="Heading2"/>
        <w:spacing w:before="0" w:after="0"/>
        <w:rPr>
          <w:rFonts w:ascii="Arial" w:hAnsi="Arial" w:cs="Arial"/>
          <w:sz w:val="24"/>
          <w:szCs w:val="24"/>
        </w:rPr>
      </w:pPr>
    </w:p>
    <w:p w14:paraId="6E661F1A" w14:textId="77777777"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Required Resources</w:t>
      </w:r>
    </w:p>
    <w:p w14:paraId="5EC42965" w14:textId="77777777" w:rsidR="00322CDC" w:rsidRPr="00954559" w:rsidRDefault="00322CDC" w:rsidP="00954559">
      <w:pPr>
        <w:pStyle w:val="ListParagraph"/>
        <w:numPr>
          <w:ilvl w:val="0"/>
          <w:numId w:val="14"/>
        </w:numPr>
        <w:rPr>
          <w:rFonts w:ascii="Arial" w:hAnsi="Arial" w:cs="Arial"/>
        </w:rPr>
      </w:pPr>
      <w:r w:rsidRPr="00954559">
        <w:rPr>
          <w:rFonts w:ascii="Arial" w:hAnsi="Arial" w:cs="Arial"/>
        </w:rPr>
        <w:t>Implementation guide</w:t>
      </w:r>
    </w:p>
    <w:p w14:paraId="2674F8C3" w14:textId="77777777" w:rsidR="00322CDC" w:rsidRPr="00954559" w:rsidRDefault="00322CDC" w:rsidP="00954559">
      <w:pPr>
        <w:pStyle w:val="ListParagraph"/>
        <w:numPr>
          <w:ilvl w:val="0"/>
          <w:numId w:val="14"/>
        </w:numPr>
        <w:rPr>
          <w:rFonts w:ascii="Arial" w:hAnsi="Arial" w:cs="Arial"/>
        </w:rPr>
      </w:pPr>
      <w:r w:rsidRPr="00954559">
        <w:rPr>
          <w:rFonts w:ascii="Arial" w:hAnsi="Arial" w:cs="Arial"/>
        </w:rPr>
        <w:t>Automated calling system</w:t>
      </w:r>
    </w:p>
    <w:p w14:paraId="707807FC" w14:textId="77777777" w:rsidR="00322CDC" w:rsidRPr="00954559" w:rsidRDefault="00322CDC" w:rsidP="00954559">
      <w:pPr>
        <w:pStyle w:val="ListParagraph"/>
        <w:numPr>
          <w:ilvl w:val="0"/>
          <w:numId w:val="14"/>
        </w:numPr>
        <w:rPr>
          <w:rFonts w:ascii="Arial" w:hAnsi="Arial" w:cs="Arial"/>
        </w:rPr>
      </w:pPr>
      <w:r w:rsidRPr="00954559">
        <w:rPr>
          <w:rFonts w:ascii="Arial" w:hAnsi="Arial" w:cs="Arial"/>
        </w:rPr>
        <w:t>Call scripts</w:t>
      </w:r>
    </w:p>
    <w:p w14:paraId="47D742C3" w14:textId="77777777" w:rsidR="00AF3CAA" w:rsidRPr="00954559" w:rsidRDefault="00AF3CAA" w:rsidP="00954559">
      <w:pPr>
        <w:pStyle w:val="ListParagraph"/>
        <w:numPr>
          <w:ilvl w:val="0"/>
          <w:numId w:val="14"/>
        </w:numPr>
        <w:rPr>
          <w:rFonts w:ascii="Arial" w:hAnsi="Arial" w:cs="Arial"/>
        </w:rPr>
      </w:pPr>
      <w:r w:rsidRPr="00954559">
        <w:rPr>
          <w:rFonts w:ascii="Arial" w:hAnsi="Arial" w:cs="Arial"/>
        </w:rPr>
        <w:t xml:space="preserve">Mailed FOBT materials </w:t>
      </w:r>
    </w:p>
    <w:p w14:paraId="28290231" w14:textId="77777777" w:rsidR="00954559" w:rsidRDefault="00954559" w:rsidP="00954559">
      <w:pPr>
        <w:pStyle w:val="Heading2"/>
        <w:spacing w:before="0" w:after="0"/>
        <w:rPr>
          <w:rFonts w:ascii="Arial" w:hAnsi="Arial" w:cs="Arial"/>
          <w:sz w:val="24"/>
          <w:szCs w:val="24"/>
        </w:rPr>
      </w:pPr>
    </w:p>
    <w:p w14:paraId="4845D2FD" w14:textId="77777777" w:rsidR="00322CDC"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Key Findings</w:t>
      </w:r>
      <w:r w:rsidR="00322CDC" w:rsidRPr="00954559">
        <w:rPr>
          <w:rFonts w:ascii="Arial" w:hAnsi="Arial" w:cs="Arial"/>
          <w:sz w:val="24"/>
          <w:szCs w:val="24"/>
        </w:rPr>
        <w:t xml:space="preserve"> from Study</w:t>
      </w:r>
      <w:r w:rsidR="00322CDC" w:rsidRPr="00954559">
        <w:rPr>
          <w:rFonts w:ascii="Arial" w:hAnsi="Arial" w:cs="Arial"/>
          <w:sz w:val="24"/>
          <w:szCs w:val="24"/>
        </w:rPr>
        <w:br/>
      </w:r>
      <w:r w:rsidR="00322CDC" w:rsidRPr="00954559">
        <w:rPr>
          <w:rFonts w:ascii="Arial" w:hAnsi="Arial" w:cs="Arial"/>
          <w:b w:val="0"/>
          <w:i w:val="0"/>
          <w:sz w:val="24"/>
          <w:szCs w:val="24"/>
        </w:rPr>
        <w:t>Six months after initiating study telephone contact, 22.5% of the intervention patients compared with 16.0% of the usual care patients had completed FOBT (p&lt;.001); intervention patients were 1.31 times more likely than usual care patients to complete FOBT during the 6-month follow-up period after adjusting for age, gender, and prior receipt of CRC screening.</w:t>
      </w:r>
      <w:r w:rsidR="00322CDC" w:rsidRPr="00954559">
        <w:rPr>
          <w:rFonts w:ascii="Arial" w:hAnsi="Arial" w:cs="Arial"/>
          <w:sz w:val="24"/>
          <w:szCs w:val="24"/>
        </w:rPr>
        <w:t xml:space="preserve">  </w:t>
      </w:r>
    </w:p>
    <w:p w14:paraId="39BC0ECD" w14:textId="77777777" w:rsidR="00954559" w:rsidRDefault="00954559" w:rsidP="00954559">
      <w:pPr>
        <w:pStyle w:val="NormalWeb"/>
        <w:spacing w:after="0"/>
        <w:jc w:val="center"/>
        <w:rPr>
          <w:rFonts w:ascii="Arial" w:hAnsi="Arial" w:cs="Arial"/>
        </w:rPr>
      </w:pPr>
    </w:p>
    <w:p w14:paraId="7E908E9C" w14:textId="77777777" w:rsidR="00AF3CAA" w:rsidRDefault="00AF3CAA" w:rsidP="00954559">
      <w:pPr>
        <w:pStyle w:val="NormalWeb"/>
        <w:spacing w:after="0"/>
        <w:jc w:val="center"/>
        <w:rPr>
          <w:rFonts w:ascii="Arial" w:hAnsi="Arial" w:cs="Arial"/>
        </w:rPr>
      </w:pPr>
      <w:r w:rsidRPr="00954559">
        <w:rPr>
          <w:rFonts w:ascii="Arial" w:hAnsi="Arial" w:cs="Arial"/>
          <w:noProof/>
        </w:rPr>
        <w:drawing>
          <wp:inline distT="0" distB="0" distL="0" distR="0" wp14:anchorId="0E243E54" wp14:editId="1F77DA1C">
            <wp:extent cx="3372472" cy="2046348"/>
            <wp:effectExtent l="0" t="0" r="0" b="0"/>
            <wp:docPr id="15" name="Picture 15" descr="Graph of Study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raph of Study Result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4962" cy="2053926"/>
                    </a:xfrm>
                    <a:prstGeom prst="rect">
                      <a:avLst/>
                    </a:prstGeom>
                    <a:noFill/>
                    <a:ln>
                      <a:noFill/>
                    </a:ln>
                  </pic:spPr>
                </pic:pic>
              </a:graphicData>
            </a:graphic>
          </wp:inline>
        </w:drawing>
      </w:r>
    </w:p>
    <w:p w14:paraId="0ABBE319" w14:textId="77777777" w:rsidR="00954559" w:rsidRPr="00954559" w:rsidRDefault="00954559" w:rsidP="00954559">
      <w:pPr>
        <w:pStyle w:val="NormalWeb"/>
        <w:spacing w:after="0"/>
        <w:jc w:val="center"/>
        <w:rPr>
          <w:rFonts w:ascii="Arial" w:hAnsi="Arial" w:cs="Arial"/>
        </w:rPr>
      </w:pPr>
    </w:p>
    <w:p w14:paraId="6503E343" w14:textId="77777777" w:rsidR="00322CDC" w:rsidRPr="00954559" w:rsidRDefault="00322CDC" w:rsidP="00954559">
      <w:pPr>
        <w:pStyle w:val="NormalWeb"/>
        <w:spacing w:after="0"/>
        <w:rPr>
          <w:rFonts w:ascii="Arial" w:hAnsi="Arial" w:cs="Arial"/>
          <w:sz w:val="18"/>
          <w:szCs w:val="18"/>
        </w:rPr>
      </w:pPr>
      <w:r w:rsidRPr="00954559">
        <w:rPr>
          <w:rFonts w:ascii="Arial" w:hAnsi="Arial" w:cs="Arial"/>
          <w:sz w:val="18"/>
          <w:szCs w:val="18"/>
        </w:rPr>
        <w:t xml:space="preserve">Source: </w:t>
      </w:r>
      <w:proofErr w:type="spellStart"/>
      <w:r w:rsidRPr="00954559">
        <w:rPr>
          <w:rFonts w:ascii="Arial" w:hAnsi="Arial" w:cs="Arial"/>
          <w:sz w:val="18"/>
          <w:szCs w:val="18"/>
        </w:rPr>
        <w:t>Mosen</w:t>
      </w:r>
      <w:proofErr w:type="spellEnd"/>
      <w:r w:rsidRPr="00954559">
        <w:rPr>
          <w:rFonts w:ascii="Arial" w:hAnsi="Arial" w:cs="Arial"/>
          <w:sz w:val="18"/>
          <w:szCs w:val="18"/>
        </w:rPr>
        <w:t xml:space="preserve"> DM, Feldstein AC, Perrin N, Rosales AG, Smith DH, Liles EG, Schneider JL, </w:t>
      </w:r>
      <w:proofErr w:type="spellStart"/>
      <w:r w:rsidRPr="00954559">
        <w:rPr>
          <w:rFonts w:ascii="Arial" w:hAnsi="Arial" w:cs="Arial"/>
          <w:sz w:val="18"/>
          <w:szCs w:val="18"/>
        </w:rPr>
        <w:t>Lafata</w:t>
      </w:r>
      <w:proofErr w:type="spellEnd"/>
      <w:r w:rsidRPr="00954559">
        <w:rPr>
          <w:rFonts w:ascii="Arial" w:hAnsi="Arial" w:cs="Arial"/>
          <w:sz w:val="18"/>
          <w:szCs w:val="18"/>
        </w:rPr>
        <w:t xml:space="preserve"> JE, Myers RE, </w:t>
      </w:r>
      <w:proofErr w:type="spellStart"/>
      <w:r w:rsidRPr="00954559">
        <w:rPr>
          <w:rFonts w:ascii="Arial" w:hAnsi="Arial" w:cs="Arial"/>
          <w:sz w:val="18"/>
          <w:szCs w:val="18"/>
        </w:rPr>
        <w:t>Kositch</w:t>
      </w:r>
      <w:proofErr w:type="spellEnd"/>
      <w:r w:rsidRPr="00954559">
        <w:rPr>
          <w:rFonts w:ascii="Arial" w:hAnsi="Arial" w:cs="Arial"/>
          <w:sz w:val="18"/>
          <w:szCs w:val="18"/>
        </w:rPr>
        <w:t xml:space="preserve"> M, Hickey T, Glasgow RE. (2010). Automated telephone calls improved completion of fecal occult blood testing. Medical Care, 48 (7), 604-610.</w:t>
      </w:r>
    </w:p>
    <w:p w14:paraId="61326F7C" w14:textId="77777777" w:rsidR="00954559" w:rsidRDefault="00954559" w:rsidP="00954559">
      <w:pPr>
        <w:pStyle w:val="NormalWeb"/>
        <w:spacing w:after="0"/>
        <w:rPr>
          <w:rFonts w:ascii="Arial" w:hAnsi="Arial" w:cs="Arial"/>
          <w:sz w:val="18"/>
          <w:szCs w:val="18"/>
        </w:rPr>
      </w:pPr>
    </w:p>
    <w:p w14:paraId="66EBC255" w14:textId="77777777" w:rsidR="00305F95" w:rsidRPr="00954559" w:rsidRDefault="003B705B" w:rsidP="00954559">
      <w:pPr>
        <w:pStyle w:val="NormalWeb"/>
        <w:spacing w:after="0"/>
        <w:rPr>
          <w:rFonts w:ascii="Arial" w:hAnsi="Arial" w:cs="Arial"/>
          <w:sz w:val="18"/>
          <w:szCs w:val="18"/>
        </w:rPr>
      </w:pPr>
      <w:hyperlink r:id="rId10" w:anchor="Program" w:history="1">
        <w:r w:rsidR="00305F95" w:rsidRPr="00954559">
          <w:rPr>
            <w:rStyle w:val="Hyperlink"/>
            <w:rFonts w:ascii="Arial" w:hAnsi="Arial" w:cs="Arial"/>
            <w:sz w:val="18"/>
            <w:szCs w:val="18"/>
          </w:rPr>
          <w:t>https://rtips.cancer.gov/rtips/programDetails.do?programId=1561044#Program</w:t>
        </w:r>
      </w:hyperlink>
      <w:r w:rsidR="00305F95" w:rsidRPr="00954559">
        <w:rPr>
          <w:rFonts w:ascii="Arial" w:hAnsi="Arial" w:cs="Arial"/>
          <w:sz w:val="18"/>
          <w:szCs w:val="18"/>
        </w:rPr>
        <w:t xml:space="preserve"> </w:t>
      </w:r>
    </w:p>
    <w:sectPr w:rsidR="00305F95" w:rsidRPr="00954559" w:rsidSect="00AF3CAA">
      <w:headerReference w:type="default" r:id="rId11"/>
      <w:footerReference w:type="even" r:id="rId12"/>
      <w:footerReference w:type="default" r:id="rId13"/>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F8AC8" w14:textId="77777777" w:rsidR="003B705B" w:rsidRDefault="003B705B">
      <w:r>
        <w:separator/>
      </w:r>
    </w:p>
  </w:endnote>
  <w:endnote w:type="continuationSeparator" w:id="0">
    <w:p w14:paraId="667F5E99" w14:textId="77777777" w:rsidR="003B705B" w:rsidRDefault="003B7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249251"/>
      <w:docPartObj>
        <w:docPartGallery w:val="Page Numbers (Bottom of Page)"/>
        <w:docPartUnique/>
      </w:docPartObj>
    </w:sdtPr>
    <w:sdtEndPr>
      <w:rPr>
        <w:noProof/>
      </w:rPr>
    </w:sdtEndPr>
    <w:sdtContent>
      <w:p w14:paraId="39C30AA0" w14:textId="77777777" w:rsidR="00322CDC" w:rsidRDefault="00322CDC">
        <w:pPr>
          <w:pStyle w:val="Footer"/>
          <w:jc w:val="right"/>
        </w:pPr>
        <w:r>
          <w:fldChar w:fldCharType="begin"/>
        </w:r>
        <w:r>
          <w:instrText xml:space="preserve"> PAGE   \* MERGEFORMAT </w:instrText>
        </w:r>
        <w:r>
          <w:fldChar w:fldCharType="separate"/>
        </w:r>
        <w:r w:rsidR="00C00892">
          <w:rPr>
            <w:noProof/>
          </w:rPr>
          <w:t>2</w:t>
        </w:r>
        <w:r>
          <w:rPr>
            <w:noProof/>
          </w:rPr>
          <w:fldChar w:fldCharType="end"/>
        </w:r>
      </w:p>
    </w:sdtContent>
  </w:sdt>
  <w:p w14:paraId="0A7B609D" w14:textId="77777777"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0A3F8" w14:textId="77777777" w:rsidR="0087453A" w:rsidRDefault="0087453A" w:rsidP="00CA16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9F806" w14:textId="77777777" w:rsidR="003B705B" w:rsidRDefault="003B705B">
      <w:r>
        <w:separator/>
      </w:r>
    </w:p>
  </w:footnote>
  <w:footnote w:type="continuationSeparator" w:id="0">
    <w:p w14:paraId="74FCBFEA" w14:textId="77777777" w:rsidR="003B705B" w:rsidRDefault="003B70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00DBD" w14:textId="77777777" w:rsidR="00654DDF" w:rsidRDefault="00AF3CAA" w:rsidP="00C6150F">
    <w:pPr>
      <w:rPr>
        <w:rFonts w:ascii="Arial" w:hAnsi="Arial" w:cs="Arial"/>
        <w:i/>
      </w:rPr>
    </w:pPr>
    <w:r>
      <w:rPr>
        <w:noProof/>
      </w:rPr>
      <w:drawing>
        <wp:anchor distT="0" distB="0" distL="114300" distR="114300" simplePos="0" relativeHeight="251659776" behindDoc="0" locked="0" layoutInCell="1" allowOverlap="1" wp14:anchorId="07531257" wp14:editId="18F35159">
          <wp:simplePos x="0" y="0"/>
          <wp:positionH relativeFrom="column">
            <wp:posOffset>5343525</wp:posOffset>
          </wp:positionH>
          <wp:positionV relativeFrom="paragraph">
            <wp:posOffset>169545</wp:posOffset>
          </wp:positionV>
          <wp:extent cx="1647825" cy="4838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598">
      <w:rPr>
        <w:rFonts w:ascii="Arial" w:hAnsi="Arial" w:cs="Arial"/>
        <w:i/>
        <w:noProof/>
      </w:rPr>
      <w:drawing>
        <wp:anchor distT="0" distB="0" distL="114300" distR="114300" simplePos="0" relativeHeight="251657728" behindDoc="0" locked="0" layoutInCell="1" allowOverlap="1" wp14:anchorId="49849095" wp14:editId="7DAB8861">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FBCF19" w14:textId="77777777" w:rsidR="00EE3598" w:rsidRDefault="00EE3598" w:rsidP="00C6150F">
    <w:pPr>
      <w:rPr>
        <w:rFonts w:ascii="Arial" w:hAnsi="Arial" w:cs="Arial"/>
        <w:i/>
      </w:rPr>
    </w:pPr>
  </w:p>
  <w:p w14:paraId="7444B7D6" w14:textId="77777777" w:rsidR="0087453A" w:rsidRPr="00EE3598" w:rsidRDefault="00746AAC" w:rsidP="00822DE1">
    <w:pPr>
      <w:jc w:val="center"/>
      <w:rPr>
        <w:rFonts w:ascii="Arial" w:hAnsi="Arial" w:cs="Arial"/>
        <w:i/>
      </w:rPr>
    </w:pPr>
    <w:r>
      <w:rPr>
        <w:rFonts w:ascii="Arial" w:hAnsi="Arial" w:cs="Arial"/>
        <w:i/>
      </w:rPr>
      <w:t xml:space="preserve">Putting Public Health </w:t>
    </w:r>
    <w:r w:rsidR="00EE3598" w:rsidRPr="00EE3598">
      <w:rPr>
        <w:rFonts w:ascii="Arial" w:hAnsi="Arial" w:cs="Arial"/>
        <w:i/>
      </w:rPr>
      <w:t>Evidence in Action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0"/>
  </w:num>
  <w:num w:numId="4">
    <w:abstractNumId w:val="9"/>
  </w:num>
  <w:num w:numId="5">
    <w:abstractNumId w:val="8"/>
  </w:num>
  <w:num w:numId="6">
    <w:abstractNumId w:val="4"/>
  </w:num>
  <w:num w:numId="7">
    <w:abstractNumId w:val="2"/>
  </w:num>
  <w:num w:numId="8">
    <w:abstractNumId w:val="11"/>
  </w:num>
  <w:num w:numId="9">
    <w:abstractNumId w:val="1"/>
  </w:num>
  <w:num w:numId="10">
    <w:abstractNumId w:val="7"/>
  </w:num>
  <w:num w:numId="11">
    <w:abstractNumId w:val="10"/>
  </w:num>
  <w:num w:numId="12">
    <w:abstractNumId w:val="5"/>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8B"/>
    <w:rsid w:val="00000AFC"/>
    <w:rsid w:val="00006470"/>
    <w:rsid w:val="00035365"/>
    <w:rsid w:val="000364DA"/>
    <w:rsid w:val="000372F1"/>
    <w:rsid w:val="00045532"/>
    <w:rsid w:val="0005232E"/>
    <w:rsid w:val="00061A1C"/>
    <w:rsid w:val="000668DF"/>
    <w:rsid w:val="00076421"/>
    <w:rsid w:val="00083BB0"/>
    <w:rsid w:val="00095473"/>
    <w:rsid w:val="000D23C1"/>
    <w:rsid w:val="000E3BE4"/>
    <w:rsid w:val="00105393"/>
    <w:rsid w:val="0011154C"/>
    <w:rsid w:val="00111FC2"/>
    <w:rsid w:val="001174F9"/>
    <w:rsid w:val="0013108B"/>
    <w:rsid w:val="00137CFD"/>
    <w:rsid w:val="0014300E"/>
    <w:rsid w:val="00155335"/>
    <w:rsid w:val="001A0AE8"/>
    <w:rsid w:val="001B558D"/>
    <w:rsid w:val="001C1AFF"/>
    <w:rsid w:val="001D2ABC"/>
    <w:rsid w:val="001D478F"/>
    <w:rsid w:val="001D5846"/>
    <w:rsid w:val="001E0B65"/>
    <w:rsid w:val="001F6DEC"/>
    <w:rsid w:val="00201B30"/>
    <w:rsid w:val="00207990"/>
    <w:rsid w:val="002325BA"/>
    <w:rsid w:val="00235276"/>
    <w:rsid w:val="00247214"/>
    <w:rsid w:val="002519DF"/>
    <w:rsid w:val="002525AB"/>
    <w:rsid w:val="002A3125"/>
    <w:rsid w:val="002B7BC1"/>
    <w:rsid w:val="002C23B2"/>
    <w:rsid w:val="002E6527"/>
    <w:rsid w:val="002F1732"/>
    <w:rsid w:val="002F6AFB"/>
    <w:rsid w:val="0030060B"/>
    <w:rsid w:val="00305F95"/>
    <w:rsid w:val="00321425"/>
    <w:rsid w:val="00322CDC"/>
    <w:rsid w:val="00325649"/>
    <w:rsid w:val="00334320"/>
    <w:rsid w:val="00375271"/>
    <w:rsid w:val="003A1E71"/>
    <w:rsid w:val="003A53D6"/>
    <w:rsid w:val="003B705B"/>
    <w:rsid w:val="003B7368"/>
    <w:rsid w:val="003C009D"/>
    <w:rsid w:val="003C77E8"/>
    <w:rsid w:val="003D4D10"/>
    <w:rsid w:val="003E5128"/>
    <w:rsid w:val="003E7A4F"/>
    <w:rsid w:val="003F7638"/>
    <w:rsid w:val="00416355"/>
    <w:rsid w:val="00426F99"/>
    <w:rsid w:val="00492DDC"/>
    <w:rsid w:val="004B02B2"/>
    <w:rsid w:val="004B06B2"/>
    <w:rsid w:val="004B3F73"/>
    <w:rsid w:val="004E292F"/>
    <w:rsid w:val="00510DE1"/>
    <w:rsid w:val="0051788C"/>
    <w:rsid w:val="00523D18"/>
    <w:rsid w:val="00526D8D"/>
    <w:rsid w:val="00543044"/>
    <w:rsid w:val="00550EE8"/>
    <w:rsid w:val="00560135"/>
    <w:rsid w:val="005709F2"/>
    <w:rsid w:val="00591C25"/>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32636"/>
    <w:rsid w:val="00737665"/>
    <w:rsid w:val="00746248"/>
    <w:rsid w:val="00746AAC"/>
    <w:rsid w:val="00767C52"/>
    <w:rsid w:val="0077027F"/>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453A"/>
    <w:rsid w:val="00911C84"/>
    <w:rsid w:val="00914873"/>
    <w:rsid w:val="00920B46"/>
    <w:rsid w:val="00931FAE"/>
    <w:rsid w:val="0094361F"/>
    <w:rsid w:val="00954559"/>
    <w:rsid w:val="00957A1E"/>
    <w:rsid w:val="00967E91"/>
    <w:rsid w:val="00985C5A"/>
    <w:rsid w:val="009868F8"/>
    <w:rsid w:val="00994F92"/>
    <w:rsid w:val="00995FDB"/>
    <w:rsid w:val="00996BA9"/>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4DD"/>
    <w:rsid w:val="00A71E54"/>
    <w:rsid w:val="00A82C99"/>
    <w:rsid w:val="00AA09DD"/>
    <w:rsid w:val="00AA292F"/>
    <w:rsid w:val="00AC07F3"/>
    <w:rsid w:val="00AF3CAA"/>
    <w:rsid w:val="00B40EC8"/>
    <w:rsid w:val="00B51EC5"/>
    <w:rsid w:val="00B764A2"/>
    <w:rsid w:val="00B81FDF"/>
    <w:rsid w:val="00BA7817"/>
    <w:rsid w:val="00BB6997"/>
    <w:rsid w:val="00C007EE"/>
    <w:rsid w:val="00C00892"/>
    <w:rsid w:val="00C064E3"/>
    <w:rsid w:val="00C27A8A"/>
    <w:rsid w:val="00C60177"/>
    <w:rsid w:val="00C60209"/>
    <w:rsid w:val="00C6150F"/>
    <w:rsid w:val="00C65096"/>
    <w:rsid w:val="00C757D3"/>
    <w:rsid w:val="00C810B5"/>
    <w:rsid w:val="00CA164D"/>
    <w:rsid w:val="00CA75EC"/>
    <w:rsid w:val="00CD08F7"/>
    <w:rsid w:val="00CE71AB"/>
    <w:rsid w:val="00D07E89"/>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51D92"/>
    <w:rsid w:val="00E65699"/>
    <w:rsid w:val="00E805EF"/>
    <w:rsid w:val="00EA2903"/>
    <w:rsid w:val="00EB25E7"/>
    <w:rsid w:val="00EB599F"/>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E0B78"/>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1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yperlink" Target="https://rtips.cancer.gov/rtips/programDetails.do?programId=15610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F2F96-428A-A74C-8DE4-E21DF43B5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2970</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Your Population</vt:lpstr>
    </vt:vector>
  </TitlesOfParts>
  <Company>Rollins School of Public Health</Company>
  <LinksUpToDate>false</LinksUpToDate>
  <CharactersWithSpaces>3485</CharactersWithSpaces>
  <SharedDoc>false</SharedDoc>
  <HLinks>
    <vt:vector size="6" baseType="variant">
      <vt:variant>
        <vt:i4>2228351</vt:i4>
      </vt:variant>
      <vt:variant>
        <vt:i4>0</vt:i4>
      </vt:variant>
      <vt:variant>
        <vt:i4>0</vt:i4>
      </vt:variant>
      <vt:variant>
        <vt:i4>5</vt:i4>
      </vt:variant>
      <vt:variant>
        <vt:lpwstr>http://flufit.org/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Knocke, Kathleen E</cp:lastModifiedBy>
  <cp:revision>2</cp:revision>
  <cp:lastPrinted>2011-05-05T23:09:00Z</cp:lastPrinted>
  <dcterms:created xsi:type="dcterms:W3CDTF">2017-11-08T02:50:00Z</dcterms:created>
  <dcterms:modified xsi:type="dcterms:W3CDTF">2017-11-08T02:50:00Z</dcterms:modified>
</cp:coreProperties>
</file>